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34" w:rsidRDefault="001B1534" w:rsidP="001B1534">
      <w:pPr>
        <w:widowControl w:val="0"/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sz w:val="28"/>
          <w:szCs w:val="28"/>
          <w:lang w:eastAsia="ja-JP"/>
        </w:rPr>
      </w:pPr>
      <w:r>
        <w:rPr>
          <w:rFonts w:ascii="BookAntiqua-Bold" w:hAnsi="BookAntiqua-Bold" w:cs="BookAntiqua-Bold"/>
          <w:b/>
          <w:bCs/>
          <w:sz w:val="28"/>
          <w:szCs w:val="28"/>
          <w:lang w:eastAsia="ja-JP"/>
        </w:rPr>
        <w:t>The Crucible A</w:t>
      </w:r>
      <w:r>
        <w:rPr>
          <w:rFonts w:ascii="BookAntiqua-Bold" w:hAnsi="BookAntiqua-Bold" w:cs="BookAntiqua-Bold"/>
          <w:b/>
          <w:bCs/>
          <w:sz w:val="28"/>
          <w:szCs w:val="28"/>
          <w:lang w:eastAsia="ja-JP"/>
        </w:rPr>
        <w:t>ct Two</w:t>
      </w:r>
    </w:p>
    <w:p w:rsidR="001B1534" w:rsidRDefault="001B1534" w:rsidP="001B1534">
      <w:pPr>
        <w:widowControl w:val="0"/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sz w:val="26"/>
          <w:szCs w:val="28"/>
          <w:lang w:eastAsia="ja-JP"/>
        </w:rPr>
      </w:pPr>
      <w:r w:rsidRPr="001B1534">
        <w:rPr>
          <w:rFonts w:ascii="BookAntiqua-Bold" w:hAnsi="BookAntiqua-Bold" w:cs="BookAntiqua-Bold"/>
          <w:b/>
          <w:bCs/>
          <w:sz w:val="26"/>
          <w:szCs w:val="28"/>
          <w:lang w:eastAsia="ja-JP"/>
        </w:rPr>
        <w:t>Types of Conflict</w:t>
      </w:r>
    </w:p>
    <w:p w:rsidR="001B1534" w:rsidRPr="001B1534" w:rsidRDefault="001B1534" w:rsidP="001B1534">
      <w:pPr>
        <w:widowControl w:val="0"/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sz w:val="26"/>
          <w:szCs w:val="28"/>
          <w:lang w:eastAsia="ja-JP"/>
        </w:rPr>
      </w:pPr>
      <w:bookmarkStart w:id="0" w:name="_GoBack"/>
      <w:bookmarkEnd w:id="0"/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b/>
          <w:bCs/>
          <w:sz w:val="22"/>
          <w:szCs w:val="22"/>
          <w:lang w:eastAsia="ja-JP"/>
        </w:rPr>
        <w:t xml:space="preserve">Conflict </w:t>
      </w:r>
      <w:r>
        <w:rPr>
          <w:rFonts w:ascii="BookAntiqua-Bold" w:hAnsi="BookAntiqua-Bold" w:cs="BookAntiqua-Bold"/>
          <w:sz w:val="22"/>
          <w:szCs w:val="22"/>
          <w:lang w:eastAsia="ja-JP"/>
        </w:rPr>
        <w:t>is a literary term indicating the struggle between two or more opposing forces. If conflict is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proofErr w:type="gramStart"/>
      <w:r>
        <w:rPr>
          <w:rFonts w:ascii="BookAntiqua-Bold" w:hAnsi="BookAntiqua-Bold" w:cs="BookAntiqua-Bold"/>
          <w:sz w:val="22"/>
          <w:szCs w:val="22"/>
          <w:lang w:eastAsia="ja-JP"/>
        </w:rPr>
        <w:t>written</w:t>
      </w:r>
      <w:proofErr w:type="gramEnd"/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 well, it can create a feeling of suspense, tension, and intrigue. There are several types of conflict:</w:t>
      </w:r>
    </w:p>
    <w:p w:rsidR="001B1534" w:rsidRPr="001B1534" w:rsidRDefault="001B1534" w:rsidP="001B15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proofErr w:type="gramStart"/>
      <w:r w:rsidRPr="001B1534"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>man</w:t>
      </w:r>
      <w:proofErr w:type="gramEnd"/>
      <w:r w:rsidRPr="001B1534"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 xml:space="preserve"> versus man</w:t>
      </w:r>
      <w:r w:rsidRPr="001B1534">
        <w:rPr>
          <w:rFonts w:ascii="BookAntiqua-Bold" w:hAnsi="BookAntiqua-Bold" w:cs="BookAntiqua-Bold"/>
          <w:sz w:val="22"/>
          <w:szCs w:val="22"/>
          <w:lang w:eastAsia="ja-JP"/>
        </w:rPr>
        <w:t>—struggle between two or more characters</w:t>
      </w:r>
    </w:p>
    <w:p w:rsidR="001B1534" w:rsidRPr="001B1534" w:rsidRDefault="001B1534" w:rsidP="001B15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proofErr w:type="gramStart"/>
      <w:r w:rsidRPr="001B1534"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>man</w:t>
      </w:r>
      <w:proofErr w:type="gramEnd"/>
      <w:r w:rsidRPr="001B1534"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 xml:space="preserve"> versus himself</w:t>
      </w:r>
      <w:r w:rsidRPr="001B1534">
        <w:rPr>
          <w:rFonts w:ascii="BookAntiqua-Bold" w:hAnsi="BookAntiqua-Bold" w:cs="BookAntiqua-Bold"/>
          <w:sz w:val="22"/>
          <w:szCs w:val="22"/>
          <w:lang w:eastAsia="ja-JP"/>
        </w:rPr>
        <w:t xml:space="preserve">—struggle between a character and his </w:t>
      </w:r>
      <w:r w:rsidRPr="001B1534">
        <w:rPr>
          <w:rFonts w:ascii="BookAntiqua-Bold" w:hAnsi="BookAntiqua-Bold" w:cs="BookAntiqua-Bold"/>
          <w:sz w:val="22"/>
          <w:szCs w:val="22"/>
          <w:lang w:eastAsia="ja-JP"/>
        </w:rPr>
        <w:t xml:space="preserve">conscience, morals, or physical </w:t>
      </w:r>
      <w:r w:rsidRPr="001B1534">
        <w:rPr>
          <w:rFonts w:ascii="BookAntiqua-Bold" w:hAnsi="BookAntiqua-Bold" w:cs="BookAntiqua-Bold"/>
          <w:sz w:val="22"/>
          <w:szCs w:val="22"/>
          <w:lang w:eastAsia="ja-JP"/>
        </w:rPr>
        <w:t>limitations</w:t>
      </w:r>
    </w:p>
    <w:p w:rsidR="001B1534" w:rsidRPr="001B1534" w:rsidRDefault="001B1534" w:rsidP="001B15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proofErr w:type="gramStart"/>
      <w:r w:rsidRPr="001B1534"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>man</w:t>
      </w:r>
      <w:proofErr w:type="gramEnd"/>
      <w:r w:rsidRPr="001B1534"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 xml:space="preserve"> versus nature</w:t>
      </w:r>
      <w:r w:rsidRPr="001B1534">
        <w:rPr>
          <w:rFonts w:ascii="BookAntiqua-Bold" w:hAnsi="BookAntiqua-Bold" w:cs="BookAntiqua-Bold"/>
          <w:sz w:val="22"/>
          <w:szCs w:val="22"/>
          <w:lang w:eastAsia="ja-JP"/>
        </w:rPr>
        <w:t>—struggle between a character and a force of nature such as weather or</w:t>
      </w:r>
      <w:r w:rsidRPr="001B1534">
        <w:rPr>
          <w:rFonts w:ascii="BookAntiqua-Bold" w:hAnsi="BookAntiqua-Bold" w:cs="BookAntiqua-Bold"/>
          <w:sz w:val="22"/>
          <w:szCs w:val="22"/>
          <w:lang w:eastAsia="ja-JP"/>
        </w:rPr>
        <w:t xml:space="preserve"> </w:t>
      </w:r>
      <w:r w:rsidRPr="001B1534">
        <w:rPr>
          <w:rFonts w:ascii="BookAntiqua-Bold" w:hAnsi="BookAntiqua-Bold" w:cs="BookAntiqua-Bold"/>
          <w:sz w:val="22"/>
          <w:szCs w:val="22"/>
          <w:lang w:eastAsia="ja-JP"/>
        </w:rPr>
        <w:t>the environment</w:t>
      </w:r>
    </w:p>
    <w:p w:rsidR="001B1534" w:rsidRPr="001B1534" w:rsidRDefault="001B1534" w:rsidP="001B15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proofErr w:type="gramStart"/>
      <w:r w:rsidRPr="001B1534"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>man</w:t>
      </w:r>
      <w:proofErr w:type="gramEnd"/>
      <w:r w:rsidRPr="001B1534"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 xml:space="preserve"> versus society</w:t>
      </w:r>
      <w:r w:rsidRPr="001B1534">
        <w:rPr>
          <w:rFonts w:ascii="BookAntiqua-Bold" w:hAnsi="BookAntiqua-Bold" w:cs="BookAntiqua-Bold"/>
          <w:sz w:val="22"/>
          <w:szCs w:val="22"/>
          <w:lang w:eastAsia="ja-JP"/>
        </w:rPr>
        <w:t>—struggle between a character and the ru</w:t>
      </w:r>
      <w:r w:rsidRPr="001B1534">
        <w:rPr>
          <w:rFonts w:ascii="BookAntiqua-Bold" w:hAnsi="BookAntiqua-Bold" w:cs="BookAntiqua-Bold"/>
          <w:sz w:val="22"/>
          <w:szCs w:val="22"/>
          <w:lang w:eastAsia="ja-JP"/>
        </w:rPr>
        <w:t xml:space="preserve">les, beliefs, or pressures of a </w:t>
      </w:r>
      <w:r w:rsidRPr="001B1534">
        <w:rPr>
          <w:rFonts w:ascii="BookAntiqua-Bold" w:hAnsi="BookAntiqua-Bold" w:cs="BookAntiqua-Bold"/>
          <w:sz w:val="22"/>
          <w:szCs w:val="22"/>
          <w:lang w:eastAsia="ja-JP"/>
        </w:rPr>
        <w:t>society or community</w:t>
      </w:r>
    </w:p>
    <w:p w:rsidR="001B1534" w:rsidRPr="001B1534" w:rsidRDefault="001B1534" w:rsidP="001B153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proofErr w:type="gramStart"/>
      <w:r w:rsidRPr="001B1534"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>man</w:t>
      </w:r>
      <w:proofErr w:type="gramEnd"/>
      <w:r w:rsidRPr="001B1534"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 xml:space="preserve"> versus fate</w:t>
      </w:r>
      <w:r w:rsidRPr="001B1534">
        <w:rPr>
          <w:rFonts w:ascii="BookAntiqua-Bold" w:hAnsi="BookAntiqua-Bold" w:cs="BookAntiqua-Bold"/>
          <w:sz w:val="22"/>
          <w:szCs w:val="22"/>
          <w:lang w:eastAsia="ja-JP"/>
        </w:rPr>
        <w:t>—struggle between a character and the “forces” of the universe, such as God,</w:t>
      </w:r>
      <w:r w:rsidRPr="001B1534">
        <w:rPr>
          <w:rFonts w:ascii="BookAntiqua-Bold" w:hAnsi="BookAntiqua-Bold" w:cs="BookAntiqua-Bold"/>
          <w:sz w:val="22"/>
          <w:szCs w:val="22"/>
          <w:lang w:eastAsia="ja-JP"/>
        </w:rPr>
        <w:t xml:space="preserve"> </w:t>
      </w:r>
      <w:r w:rsidRPr="001B1534">
        <w:rPr>
          <w:rFonts w:ascii="BookAntiqua-Bold" w:hAnsi="BookAntiqua-Bold" w:cs="BookAntiqua-Bold"/>
          <w:sz w:val="22"/>
          <w:szCs w:val="22"/>
          <w:lang w:eastAsia="ja-JP"/>
        </w:rPr>
        <w:t>destiny, or chance happenings</w:t>
      </w:r>
      <w:r w:rsidRPr="001B1534">
        <w:rPr>
          <w:rFonts w:ascii="BookAntiqua-Bold" w:hAnsi="BookAntiqua-Bold" w:cs="BookAntiqua-Bold"/>
          <w:sz w:val="22"/>
          <w:szCs w:val="22"/>
          <w:lang w:eastAsia="ja-JP"/>
        </w:rPr>
        <w:t>.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In addition, conflict can be divided into external or internal conflicts. </w:t>
      </w:r>
      <w:r>
        <w:rPr>
          <w:rFonts w:ascii="BookAntiqua-Bold" w:hAnsi="BookAntiqua-Bold" w:cs="BookAntiqua-Bold"/>
          <w:b/>
          <w:bCs/>
          <w:sz w:val="22"/>
          <w:szCs w:val="22"/>
          <w:lang w:eastAsia="ja-JP"/>
        </w:rPr>
        <w:t xml:space="preserve">External conflicts </w:t>
      </w:r>
      <w:r>
        <w:rPr>
          <w:rFonts w:ascii="BookAntiqua-Bold" w:hAnsi="BookAntiqua-Bold" w:cs="BookAntiqua-Bold"/>
          <w:sz w:val="22"/>
          <w:szCs w:val="22"/>
          <w:lang w:eastAsia="ja-JP"/>
        </w:rPr>
        <w:t>are man versus</w:t>
      </w:r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 </w:t>
      </w:r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man, man versus nature, man versus society, and man versus fate. The </w:t>
      </w:r>
      <w:r>
        <w:rPr>
          <w:rFonts w:ascii="BookAntiqua-Bold" w:hAnsi="BookAntiqua-Bold" w:cs="BookAntiqua-Bold"/>
          <w:b/>
          <w:bCs/>
          <w:sz w:val="22"/>
          <w:szCs w:val="22"/>
          <w:lang w:eastAsia="ja-JP"/>
        </w:rPr>
        <w:t xml:space="preserve">internal conflict </w:t>
      </w:r>
      <w:r>
        <w:rPr>
          <w:rFonts w:ascii="BookAntiqua-Bold" w:hAnsi="BookAntiqua-Bold" w:cs="BookAntiqua-Bold"/>
          <w:sz w:val="22"/>
          <w:szCs w:val="22"/>
          <w:lang w:eastAsia="ja-JP"/>
        </w:rPr>
        <w:t>is man versus</w:t>
      </w:r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 </w:t>
      </w:r>
      <w:r>
        <w:rPr>
          <w:rFonts w:ascii="BookAntiqua-Bold" w:hAnsi="BookAntiqua-Bold" w:cs="BookAntiqua-Bold"/>
          <w:sz w:val="22"/>
          <w:szCs w:val="22"/>
          <w:lang w:eastAsia="ja-JP"/>
        </w:rPr>
        <w:t>himself.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i/>
          <w:iCs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i/>
          <w:iCs/>
          <w:sz w:val="22"/>
          <w:szCs w:val="22"/>
          <w:lang w:eastAsia="ja-JP"/>
        </w:rPr>
      </w:pPr>
      <w:r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>Directions: For each of the following quotes from Acts One and Two, decide who or what is involved in the conflict,</w:t>
      </w:r>
      <w:r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 xml:space="preserve"> </w:t>
      </w:r>
      <w:r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>which type of conflict is being represented (see 1-5 above)</w:t>
      </w:r>
      <w:r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 xml:space="preserve"> and explain why the speaker is saying what he/she is saying</w:t>
      </w:r>
      <w:r>
        <w:rPr>
          <w:rFonts w:ascii="BookAntiqua-Bold" w:hAnsi="BookAntiqua-Bold" w:cs="BookAntiqua-Bold"/>
          <w:i/>
          <w:iCs/>
          <w:sz w:val="22"/>
          <w:szCs w:val="22"/>
          <w:lang w:eastAsia="ja-JP"/>
        </w:rPr>
        <w:t>. An example has been done for you.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b/>
          <w:bCs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b/>
          <w:bCs/>
          <w:sz w:val="22"/>
          <w:szCs w:val="22"/>
          <w:lang w:eastAsia="ja-JP"/>
        </w:rPr>
        <w:t xml:space="preserve">Ex. </w:t>
      </w:r>
      <w:r>
        <w:rPr>
          <w:rFonts w:ascii="BookAntiqua-Bold" w:hAnsi="BookAntiqua-Bold" w:cs="BookAntiqua-Bold"/>
          <w:sz w:val="22"/>
          <w:szCs w:val="22"/>
          <w:lang w:eastAsia="ja-JP"/>
        </w:rPr>
        <w:t>Parris urges Abigail to tell him the truth about what happens in the woods: “It must come out—my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proofErr w:type="gramStart"/>
      <w:r>
        <w:rPr>
          <w:rFonts w:ascii="BookAntiqua-Bold" w:hAnsi="BookAntiqua-Bold" w:cs="BookAntiqua-Bold"/>
          <w:sz w:val="22"/>
          <w:szCs w:val="22"/>
          <w:lang w:eastAsia="ja-JP"/>
        </w:rPr>
        <w:t>enemies</w:t>
      </w:r>
      <w:proofErr w:type="gramEnd"/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 will bring it out. Let me know what you done there. Abigail, do you understand that I have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proofErr w:type="gramStart"/>
      <w:r>
        <w:rPr>
          <w:rFonts w:ascii="BookAntiqua-Bold" w:hAnsi="BookAntiqua-Bold" w:cs="BookAntiqua-Bold"/>
          <w:sz w:val="22"/>
          <w:szCs w:val="22"/>
          <w:lang w:eastAsia="ja-JP"/>
        </w:rPr>
        <w:t>many</w:t>
      </w:r>
      <w:proofErr w:type="gramEnd"/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 enemies?”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Opposing forces: Parris versus certain members of the community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Type of conflict: man versus society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Explain the speaker’s concern</w:t>
      </w:r>
      <w:r>
        <w:rPr>
          <w:rFonts w:ascii="BookAntiqua-Bold" w:hAnsi="BookAntiqua-Bold" w:cs="BookAntiqua-Bold"/>
          <w:sz w:val="22"/>
          <w:szCs w:val="22"/>
          <w:lang w:eastAsia="ja-JP"/>
        </w:rPr>
        <w:t>:</w:t>
      </w:r>
      <w:r w:rsidRPr="001B1534">
        <w:rPr>
          <w:rFonts w:ascii="BookAntiqua-Bold" w:hAnsi="BookAntiqua-Bold" w:cs="BookAntiqua-Bold"/>
          <w:sz w:val="22"/>
          <w:szCs w:val="22"/>
          <w:lang w:eastAsia="ja-JP"/>
        </w:rPr>
        <w:t xml:space="preserve"> </w:t>
      </w:r>
      <w:r>
        <w:rPr>
          <w:rFonts w:ascii="BookAntiqua-Bold" w:hAnsi="BookAntiqua-Bold" w:cs="BookAntiqua-Bold"/>
          <w:sz w:val="22"/>
          <w:szCs w:val="22"/>
          <w:lang w:eastAsia="ja-JP"/>
        </w:rPr>
        <w:t>Parris i</w:t>
      </w:r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s not popular in Salem and doesn’t want to give his enemies any ammunition (or any reasons) to ruin his reputation. 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1. Abigail defends her name in the town: “She hates me, uncle, she must, for I would not be her slave.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It’s a bitter woman, a lying, cold, sniveling woman, and I will not work for such a woman!”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Opposing forces: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Type of conflict: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Explain the speaker’s concern: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2. John Proctor rejects Abigail: “Abby, I may think of you softly from time to time. But I will cut off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proofErr w:type="gramStart"/>
      <w:r>
        <w:rPr>
          <w:rFonts w:ascii="BookAntiqua-Bold" w:hAnsi="BookAntiqua-Bold" w:cs="BookAntiqua-Bold"/>
          <w:sz w:val="22"/>
          <w:szCs w:val="22"/>
          <w:lang w:eastAsia="ja-JP"/>
        </w:rPr>
        <w:t>my</w:t>
      </w:r>
      <w:proofErr w:type="gramEnd"/>
      <w:r>
        <w:rPr>
          <w:rFonts w:ascii="BookAntiqua-Bold" w:hAnsi="BookAntiqua-Bold" w:cs="BookAntiqua-Bold"/>
          <w:sz w:val="22"/>
          <w:szCs w:val="22"/>
          <w:lang w:eastAsia="ja-JP"/>
        </w:rPr>
        <w:t xml:space="preserve"> hand before I’ll ever reach for you again. Wipe it out of mind. We never touched, Abby.”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Opposing forces: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Type of conflict: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Explain the speaker’s concern: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BB6D91" w:rsidRDefault="00BB6D91" w:rsidP="001B1534">
      <w:pPr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r>
        <w:rPr>
          <w:rFonts w:ascii="BookAntiqua" w:hAnsi="BookAntiqua" w:cs="BookAntiqua"/>
          <w:sz w:val="22"/>
          <w:szCs w:val="22"/>
          <w:lang w:eastAsia="ja-JP"/>
        </w:rPr>
        <w:t>3. Giles comments on recent events: “Wherefore is everybody suing everybody else? Think on it now,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proofErr w:type="gramStart"/>
      <w:r>
        <w:rPr>
          <w:rFonts w:ascii="BookAntiqua" w:hAnsi="BookAntiqua" w:cs="BookAntiqua"/>
          <w:sz w:val="22"/>
          <w:szCs w:val="22"/>
          <w:lang w:eastAsia="ja-JP"/>
        </w:rPr>
        <w:t>it’s</w:t>
      </w:r>
      <w:proofErr w:type="gramEnd"/>
      <w:r>
        <w:rPr>
          <w:rFonts w:ascii="BookAntiqua" w:hAnsi="BookAntiqua" w:cs="BookAntiqua"/>
          <w:sz w:val="22"/>
          <w:szCs w:val="22"/>
          <w:lang w:eastAsia="ja-JP"/>
        </w:rPr>
        <w:t xml:space="preserve"> a deep thing, and dark as a pit. I have been six time in court this year—“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r>
        <w:rPr>
          <w:rFonts w:ascii="BookAntiqua" w:hAnsi="BookAntiqua" w:cs="BookAntiqua"/>
          <w:sz w:val="22"/>
          <w:szCs w:val="22"/>
          <w:lang w:eastAsia="ja-JP"/>
        </w:rPr>
        <w:t>Opposing forces: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r>
        <w:rPr>
          <w:rFonts w:ascii="BookAntiqua" w:hAnsi="BookAntiqua" w:cs="BookAntiqua"/>
          <w:sz w:val="22"/>
          <w:szCs w:val="22"/>
          <w:lang w:eastAsia="ja-JP"/>
        </w:rPr>
        <w:t>Type of conflict: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Explain the speaker’s concern: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r>
        <w:rPr>
          <w:rFonts w:ascii="BookAntiqua" w:hAnsi="BookAntiqua" w:cs="BookAntiqua"/>
          <w:sz w:val="22"/>
          <w:szCs w:val="22"/>
          <w:lang w:eastAsia="ja-JP"/>
        </w:rPr>
        <w:t xml:space="preserve">4. Parris and Putnam threaten to whip and hang </w:t>
      </w:r>
      <w:proofErr w:type="spellStart"/>
      <w:r>
        <w:rPr>
          <w:rFonts w:ascii="BookAntiqua" w:hAnsi="BookAntiqua" w:cs="BookAntiqua"/>
          <w:sz w:val="22"/>
          <w:szCs w:val="22"/>
          <w:lang w:eastAsia="ja-JP"/>
        </w:rPr>
        <w:t>Tituba</w:t>
      </w:r>
      <w:proofErr w:type="spellEnd"/>
      <w:r>
        <w:rPr>
          <w:rFonts w:ascii="BookAntiqua" w:hAnsi="BookAntiqua" w:cs="BookAntiqua"/>
          <w:sz w:val="22"/>
          <w:szCs w:val="22"/>
          <w:lang w:eastAsia="ja-JP"/>
        </w:rPr>
        <w:t>, and she begs for her life: “No, no, don’t hang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proofErr w:type="spellStart"/>
      <w:r>
        <w:rPr>
          <w:rFonts w:ascii="BookAntiqua" w:hAnsi="BookAntiqua" w:cs="BookAntiqua"/>
          <w:sz w:val="22"/>
          <w:szCs w:val="22"/>
          <w:lang w:eastAsia="ja-JP"/>
        </w:rPr>
        <w:t>Tituba</w:t>
      </w:r>
      <w:proofErr w:type="spellEnd"/>
      <w:r>
        <w:rPr>
          <w:rFonts w:ascii="BookAntiqua" w:hAnsi="BookAntiqua" w:cs="BookAntiqua"/>
          <w:sz w:val="22"/>
          <w:szCs w:val="22"/>
          <w:lang w:eastAsia="ja-JP"/>
        </w:rPr>
        <w:t>! I tell him I don’t desire to work for him, sir.”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r>
        <w:rPr>
          <w:rFonts w:ascii="BookAntiqua" w:hAnsi="BookAntiqua" w:cs="BookAntiqua"/>
          <w:sz w:val="22"/>
          <w:szCs w:val="22"/>
          <w:lang w:eastAsia="ja-JP"/>
        </w:rPr>
        <w:t>Opposing forces: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r>
        <w:rPr>
          <w:rFonts w:ascii="BookAntiqua" w:hAnsi="BookAntiqua" w:cs="BookAntiqua"/>
          <w:sz w:val="22"/>
          <w:szCs w:val="22"/>
          <w:lang w:eastAsia="ja-JP"/>
        </w:rPr>
        <w:t>Type of conflict: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Explain the speaker’s concern: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r>
        <w:rPr>
          <w:rFonts w:ascii="BookAntiqua" w:hAnsi="BookAntiqua" w:cs="BookAntiqua"/>
          <w:sz w:val="22"/>
          <w:szCs w:val="22"/>
          <w:lang w:eastAsia="ja-JP"/>
        </w:rPr>
        <w:t>5. Proctor attempts to convince his wife: “Woman. I’ll not have your suspicion any more... I’ll not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proofErr w:type="gramStart"/>
      <w:r>
        <w:rPr>
          <w:rFonts w:ascii="BookAntiqua" w:hAnsi="BookAntiqua" w:cs="BookAntiqua"/>
          <w:sz w:val="22"/>
          <w:szCs w:val="22"/>
          <w:lang w:eastAsia="ja-JP"/>
        </w:rPr>
        <w:t>have</w:t>
      </w:r>
      <w:proofErr w:type="gramEnd"/>
      <w:r>
        <w:rPr>
          <w:rFonts w:ascii="BookAntiqua" w:hAnsi="BookAntiqua" w:cs="BookAntiqua"/>
          <w:sz w:val="22"/>
          <w:szCs w:val="22"/>
          <w:lang w:eastAsia="ja-JP"/>
        </w:rPr>
        <w:t xml:space="preserve"> it!”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r>
        <w:rPr>
          <w:rFonts w:ascii="BookAntiqua" w:hAnsi="BookAntiqua" w:cs="BookAntiqua"/>
          <w:sz w:val="22"/>
          <w:szCs w:val="22"/>
          <w:lang w:eastAsia="ja-JP"/>
        </w:rPr>
        <w:t>Opposing forces: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r>
        <w:rPr>
          <w:rFonts w:ascii="BookAntiqua" w:hAnsi="BookAntiqua" w:cs="BookAntiqua"/>
          <w:sz w:val="22"/>
          <w:szCs w:val="22"/>
          <w:lang w:eastAsia="ja-JP"/>
        </w:rPr>
        <w:t>Type of conflict: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Explain the speaker’s concern: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r>
        <w:rPr>
          <w:rFonts w:ascii="BookAntiqua" w:hAnsi="BookAntiqua" w:cs="BookAntiqua"/>
          <w:sz w:val="22"/>
          <w:szCs w:val="22"/>
          <w:lang w:eastAsia="ja-JP"/>
        </w:rPr>
        <w:t>6. Proctor is plagued by guilt: “But I wilted, and, like a Christian, I confessed. Confessed! Some</w:t>
      </w:r>
      <w:r>
        <w:rPr>
          <w:rFonts w:ascii="BookAntiqua" w:hAnsi="BookAntiqua" w:cs="BookAntiqua"/>
          <w:sz w:val="22"/>
          <w:szCs w:val="22"/>
          <w:lang w:eastAsia="ja-JP"/>
        </w:rPr>
        <w:t xml:space="preserve"> </w:t>
      </w:r>
      <w:r>
        <w:rPr>
          <w:rFonts w:ascii="BookAntiqua" w:hAnsi="BookAntiqua" w:cs="BookAntiqua"/>
          <w:sz w:val="22"/>
          <w:szCs w:val="22"/>
          <w:lang w:eastAsia="ja-JP"/>
        </w:rPr>
        <w:t>dream I had must have mistaken you for God that day. But you’re not, you’re not, and let you</w:t>
      </w:r>
      <w:r>
        <w:rPr>
          <w:rFonts w:ascii="BookAntiqua" w:hAnsi="BookAntiqua" w:cs="BookAntiqua"/>
          <w:sz w:val="22"/>
          <w:szCs w:val="22"/>
          <w:lang w:eastAsia="ja-JP"/>
        </w:rPr>
        <w:t xml:space="preserve"> </w:t>
      </w:r>
      <w:r>
        <w:rPr>
          <w:rFonts w:ascii="BookAntiqua" w:hAnsi="BookAntiqua" w:cs="BookAntiqua"/>
          <w:sz w:val="22"/>
          <w:szCs w:val="22"/>
          <w:lang w:eastAsia="ja-JP"/>
        </w:rPr>
        <w:t>remember it! Let you look sometimes for the goodness in me, and judge me not.”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r>
        <w:rPr>
          <w:rFonts w:ascii="BookAntiqua" w:hAnsi="BookAntiqua" w:cs="BookAntiqua"/>
          <w:sz w:val="22"/>
          <w:szCs w:val="22"/>
          <w:lang w:eastAsia="ja-JP"/>
        </w:rPr>
        <w:t>Opposing forces: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r>
        <w:rPr>
          <w:rFonts w:ascii="BookAntiqua" w:hAnsi="BookAntiqua" w:cs="BookAntiqua"/>
          <w:sz w:val="22"/>
          <w:szCs w:val="22"/>
          <w:lang w:eastAsia="ja-JP"/>
        </w:rPr>
        <w:t>Type of conflict: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Explain the speaker’s concern: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r>
        <w:rPr>
          <w:rFonts w:ascii="BookAntiqua" w:hAnsi="BookAntiqua" w:cs="BookAntiqua"/>
          <w:sz w:val="22"/>
          <w:szCs w:val="22"/>
          <w:lang w:eastAsia="ja-JP"/>
        </w:rPr>
        <w:t>7. Hale questions Proctor: “I thought, sir, to put some questions as to the Christian character of this</w:t>
      </w:r>
      <w:r>
        <w:rPr>
          <w:rFonts w:ascii="BookAntiqua" w:hAnsi="BookAntiqua" w:cs="BookAntiqua"/>
          <w:sz w:val="22"/>
          <w:szCs w:val="22"/>
          <w:lang w:eastAsia="ja-JP"/>
        </w:rPr>
        <w:t xml:space="preserve"> </w:t>
      </w:r>
      <w:r>
        <w:rPr>
          <w:rFonts w:ascii="BookAntiqua" w:hAnsi="BookAntiqua" w:cs="BookAntiqua"/>
          <w:sz w:val="22"/>
          <w:szCs w:val="22"/>
          <w:lang w:eastAsia="ja-JP"/>
        </w:rPr>
        <w:t>house, if you’ll permit me.”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r>
        <w:rPr>
          <w:rFonts w:ascii="BookAntiqua" w:hAnsi="BookAntiqua" w:cs="BookAntiqua"/>
          <w:sz w:val="22"/>
          <w:szCs w:val="22"/>
          <w:lang w:eastAsia="ja-JP"/>
        </w:rPr>
        <w:t>Opposing forces: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r>
        <w:rPr>
          <w:rFonts w:ascii="BookAntiqua" w:hAnsi="BookAntiqua" w:cs="BookAntiqua"/>
          <w:sz w:val="22"/>
          <w:szCs w:val="22"/>
          <w:lang w:eastAsia="ja-JP"/>
        </w:rPr>
        <w:t>Type of conflict: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  <w:r>
        <w:rPr>
          <w:rFonts w:ascii="BookAntiqua-Bold" w:hAnsi="BookAntiqua-Bold" w:cs="BookAntiqua-Bold"/>
          <w:sz w:val="22"/>
          <w:szCs w:val="22"/>
          <w:lang w:eastAsia="ja-JP"/>
        </w:rPr>
        <w:t>Explain the speaker’s concern: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-Bold" w:hAnsi="BookAntiqua-Bold" w:cs="BookAntiqua-Bold"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r>
        <w:rPr>
          <w:rFonts w:ascii="BookAntiqua" w:hAnsi="BookAntiqua" w:cs="BookAntiqua"/>
          <w:sz w:val="22"/>
          <w:szCs w:val="22"/>
          <w:lang w:eastAsia="ja-JP"/>
        </w:rPr>
        <w:t>8. Elizabeth learns of Abigail’s charge: “Abigail were stabbed tonight; a needle were found stuck into</w:t>
      </w:r>
      <w:r>
        <w:rPr>
          <w:rFonts w:ascii="BookAntiqua" w:hAnsi="BookAntiqua" w:cs="BookAntiqua"/>
          <w:sz w:val="22"/>
          <w:szCs w:val="22"/>
          <w:lang w:eastAsia="ja-JP"/>
        </w:rPr>
        <w:t xml:space="preserve"> </w:t>
      </w:r>
      <w:r>
        <w:rPr>
          <w:rFonts w:ascii="BookAntiqua" w:hAnsi="BookAntiqua" w:cs="BookAntiqua"/>
          <w:sz w:val="22"/>
          <w:szCs w:val="22"/>
          <w:lang w:eastAsia="ja-JP"/>
        </w:rPr>
        <w:t>her belly—“</w:t>
      </w:r>
    </w:p>
    <w:p w:rsidR="001B1534" w:rsidRDefault="001B1534" w:rsidP="001B1534">
      <w:pPr>
        <w:widowControl w:val="0"/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eastAsia="ja-JP"/>
        </w:rPr>
      </w:pPr>
      <w:r>
        <w:rPr>
          <w:rFonts w:ascii="BookAntiqua" w:hAnsi="BookAntiqua" w:cs="BookAntiqua"/>
          <w:sz w:val="22"/>
          <w:szCs w:val="22"/>
          <w:lang w:eastAsia="ja-JP"/>
        </w:rPr>
        <w:t>Opposing forces:</w:t>
      </w:r>
    </w:p>
    <w:p w:rsidR="001B1534" w:rsidRDefault="001B1534" w:rsidP="001B1534">
      <w:pPr>
        <w:rPr>
          <w:rFonts w:ascii="BookAntiqua" w:hAnsi="BookAntiqua" w:cs="BookAntiqua"/>
          <w:sz w:val="22"/>
          <w:szCs w:val="22"/>
          <w:lang w:eastAsia="ja-JP"/>
        </w:rPr>
      </w:pPr>
      <w:r>
        <w:rPr>
          <w:rFonts w:ascii="BookAntiqua" w:hAnsi="BookAntiqua" w:cs="BookAntiqua"/>
          <w:sz w:val="22"/>
          <w:szCs w:val="22"/>
          <w:lang w:eastAsia="ja-JP"/>
        </w:rPr>
        <w:t>Type of conflict</w:t>
      </w:r>
      <w:r>
        <w:rPr>
          <w:rFonts w:ascii="BookAntiqua" w:hAnsi="BookAntiqua" w:cs="BookAntiqua"/>
          <w:sz w:val="22"/>
          <w:szCs w:val="22"/>
          <w:lang w:eastAsia="ja-JP"/>
        </w:rPr>
        <w:t>:</w:t>
      </w:r>
    </w:p>
    <w:p w:rsidR="001B1534" w:rsidRDefault="001B1534" w:rsidP="001B1534">
      <w:r>
        <w:rPr>
          <w:rFonts w:ascii="BookAntiqua-Bold" w:hAnsi="BookAntiqua-Bold" w:cs="BookAntiqua-Bold"/>
          <w:sz w:val="22"/>
          <w:szCs w:val="22"/>
          <w:lang w:eastAsia="ja-JP"/>
        </w:rPr>
        <w:t>Explain the speaker’s concern:</w:t>
      </w:r>
    </w:p>
    <w:sectPr w:rsidR="001B1534" w:rsidSect="001B153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Antiqua-Bold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ookAntiqua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4BBB"/>
    <w:multiLevelType w:val="hybridMultilevel"/>
    <w:tmpl w:val="05B67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A04C3"/>
    <w:multiLevelType w:val="hybridMultilevel"/>
    <w:tmpl w:val="A9F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04B16"/>
    <w:multiLevelType w:val="hybridMultilevel"/>
    <w:tmpl w:val="5A2CA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4"/>
    <w:rsid w:val="001B1534"/>
    <w:rsid w:val="00281531"/>
    <w:rsid w:val="00BB6D91"/>
    <w:rsid w:val="00E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511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540</Words>
  <Characters>3079</Characters>
  <Application>Microsoft Macintosh Word</Application>
  <DocSecurity>0</DocSecurity>
  <Lines>25</Lines>
  <Paragraphs>7</Paragraphs>
  <ScaleCrop>false</ScaleCrop>
  <Company>Kenowa Hills High School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Stitt</dc:creator>
  <cp:keywords/>
  <dc:description/>
  <cp:lastModifiedBy>Mary Stitt</cp:lastModifiedBy>
  <cp:revision>1</cp:revision>
  <dcterms:created xsi:type="dcterms:W3CDTF">2013-05-13T00:27:00Z</dcterms:created>
  <dcterms:modified xsi:type="dcterms:W3CDTF">2013-05-13T00:38:00Z</dcterms:modified>
</cp:coreProperties>
</file>